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261F" w14:textId="77777777" w:rsidR="002D7146" w:rsidRPr="00B11569" w:rsidRDefault="002D7146" w:rsidP="002D7146">
      <w:pPr>
        <w:spacing w:line="360" w:lineRule="auto"/>
        <w:rPr>
          <w:rFonts w:ascii="Lato" w:hAnsi="Lato" w:cs="Arial"/>
          <w:b/>
          <w:sz w:val="24"/>
          <w:szCs w:val="24"/>
        </w:rPr>
      </w:pPr>
      <w:r w:rsidRPr="00B11569">
        <w:rPr>
          <w:rFonts w:ascii="Lato" w:hAnsi="Lato" w:cs="Arial"/>
          <w:b/>
          <w:sz w:val="24"/>
          <w:szCs w:val="24"/>
        </w:rPr>
        <w:t>PRESS</w:t>
      </w:r>
      <w:r w:rsidR="001D2086" w:rsidRPr="00B11569">
        <w:rPr>
          <w:rFonts w:ascii="Lato" w:hAnsi="Lato" w:cs="Arial"/>
          <w:b/>
          <w:sz w:val="24"/>
          <w:szCs w:val="24"/>
        </w:rPr>
        <w:t>EMELDUNG</w:t>
      </w:r>
    </w:p>
    <w:p w14:paraId="5FDC5A96" w14:textId="77777777" w:rsidR="0070381E" w:rsidRPr="00B11569" w:rsidRDefault="0070381E" w:rsidP="00560C5D">
      <w:pPr>
        <w:pStyle w:val="Default"/>
        <w:rPr>
          <w:rFonts w:ascii="Lato" w:hAnsi="Lato"/>
          <w:b/>
          <w:bCs/>
        </w:rPr>
      </w:pPr>
    </w:p>
    <w:p w14:paraId="238C18EA" w14:textId="77777777" w:rsidR="0070381E" w:rsidRPr="00B11569" w:rsidRDefault="0070381E" w:rsidP="00560C5D">
      <w:pPr>
        <w:pStyle w:val="Default"/>
        <w:rPr>
          <w:rFonts w:ascii="Lato" w:hAnsi="Lato"/>
          <w:b/>
          <w:bCs/>
        </w:rPr>
      </w:pPr>
    </w:p>
    <w:p w14:paraId="50A49C7A" w14:textId="77777777" w:rsidR="003A7CC3" w:rsidRPr="00FF3D67" w:rsidRDefault="00B303EE" w:rsidP="003A7CC3">
      <w:pPr>
        <w:pStyle w:val="Default"/>
        <w:rPr>
          <w:rFonts w:ascii="Lato" w:hAnsi="Lato"/>
          <w:b/>
          <w:bCs/>
        </w:rPr>
      </w:pPr>
      <w:r w:rsidRPr="00FF3D67">
        <w:rPr>
          <w:rFonts w:ascii="Lato" w:hAnsi="Lato"/>
          <w:b/>
          <w:bCs/>
        </w:rPr>
        <w:t xml:space="preserve">The Mobility House </w:t>
      </w:r>
      <w:r w:rsidR="007608E3">
        <w:rPr>
          <w:rFonts w:ascii="Lato" w:hAnsi="Lato"/>
          <w:b/>
          <w:bCs/>
        </w:rPr>
        <w:t>kooperiert mit</w:t>
      </w:r>
      <w:r w:rsidR="00B858FC" w:rsidRPr="00FF3D67">
        <w:rPr>
          <w:rFonts w:ascii="Lato" w:hAnsi="Lato"/>
          <w:b/>
          <w:bCs/>
        </w:rPr>
        <w:t xml:space="preserve"> SenerTec</w:t>
      </w:r>
      <w:r w:rsidR="007608E3">
        <w:rPr>
          <w:rFonts w:ascii="Lato" w:hAnsi="Lato"/>
          <w:b/>
          <w:bCs/>
        </w:rPr>
        <w:t xml:space="preserve"> für emissionsfreie Zukunft</w:t>
      </w:r>
    </w:p>
    <w:p w14:paraId="5613DB7F" w14:textId="77777777" w:rsidR="0070381E" w:rsidRPr="00FF3D67" w:rsidRDefault="0070381E" w:rsidP="0070381E">
      <w:pPr>
        <w:pStyle w:val="Default"/>
        <w:rPr>
          <w:rFonts w:ascii="Lato" w:hAnsi="Lato"/>
          <w:b/>
          <w:bCs/>
        </w:rPr>
      </w:pPr>
    </w:p>
    <w:p w14:paraId="52D8758C" w14:textId="55D13D40" w:rsidR="008B6DF8" w:rsidRPr="00B000FA" w:rsidRDefault="008B6DF8" w:rsidP="008B6DF8">
      <w:pPr>
        <w:autoSpaceDE w:val="0"/>
        <w:autoSpaceDN w:val="0"/>
        <w:adjustRightInd w:val="0"/>
        <w:spacing w:line="240" w:lineRule="auto"/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</w:pPr>
      <w:r w:rsidRPr="00B000FA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>München</w:t>
      </w:r>
      <w:r w:rsidR="0070381E" w:rsidRPr="00B000FA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>,</w:t>
      </w:r>
      <w:r w:rsidRPr="00B000FA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 xml:space="preserve"> </w:t>
      </w:r>
      <w:r w:rsidR="000C7332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>13.05.</w:t>
      </w:r>
      <w:r w:rsidR="0070381E" w:rsidRPr="00B000FA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>20</w:t>
      </w:r>
      <w:r w:rsidR="004B3032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>20</w:t>
      </w:r>
      <w:r w:rsidR="0077454A" w:rsidRPr="00B000FA">
        <w:rPr>
          <w:rFonts w:ascii="Lato Light" w:hAnsi="Lato Light" w:cs="Calibri"/>
          <w:b/>
          <w:iCs/>
          <w:color w:val="000000"/>
          <w:sz w:val="20"/>
          <w:szCs w:val="20"/>
          <w:lang w:eastAsia="de-DE"/>
        </w:rPr>
        <w:t xml:space="preserve"> – </w:t>
      </w:r>
    </w:p>
    <w:p w14:paraId="5522509A" w14:textId="77777777" w:rsidR="005A7C39" w:rsidRPr="006B28D4" w:rsidRDefault="005A7C39" w:rsidP="005A7C39">
      <w:pPr>
        <w:pStyle w:val="Text"/>
        <w:rPr>
          <w:sz w:val="26"/>
          <w:szCs w:val="26"/>
        </w:rPr>
      </w:pPr>
    </w:p>
    <w:p w14:paraId="207B0E7F" w14:textId="77777777" w:rsidR="00843F86" w:rsidRDefault="00B858FC" w:rsidP="00843F86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Seit Anfang des Jahres </w:t>
      </w:r>
      <w:r w:rsidR="00F07294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verlässt sich die </w:t>
      </w:r>
      <w:r w:rsidR="00F07294" w:rsidRP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SenerTec Kraft-Wärme-Energiesysteme GmbH</w:t>
      </w:r>
      <w:r w:rsidR="00F07294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auf die Expertise von The Mobility House. </w:t>
      </w:r>
      <w:r w:rsidR="0014611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Beim</w:t>
      </w:r>
      <w:r w:rsidR="0036387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Einstieg in die Elektromobilität steht</w:t>
      </w:r>
      <w:r w:rsid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das Technologieunternehmen</w:t>
      </w:r>
      <w:r w:rsidR="005A77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43F8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beratend zur Seite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stattet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den BHKW-Hersteller </w:t>
      </w:r>
      <w:r w:rsidR="0036387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seine Vertriebscenter deutschlandweit </w:t>
      </w:r>
      <w:r w:rsidR="00843F8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mit</w:t>
      </w:r>
      <w:r w:rsid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Ladeinfrast</w:t>
      </w:r>
      <w:r w:rsidR="0065265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</w:t>
      </w:r>
      <w:r w:rsid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uktur aus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43F8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Der Fokus liegt auf </w:t>
      </w:r>
      <w:r w:rsidR="0036387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Ladelösungen </w:t>
      </w:r>
      <w:r w:rsidR="00843F8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des Herstellers KEBA.</w:t>
      </w:r>
    </w:p>
    <w:p w14:paraId="2BE7DCDA" w14:textId="77777777" w:rsidR="00652656" w:rsidRDefault="00652656" w:rsidP="00B11569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910724E" w14:textId="10120BF4" w:rsidR="00B303EE" w:rsidRDefault="00B858FC" w:rsidP="00CD06E7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Der</w:t>
      </w:r>
      <w:r w:rsidRPr="00F07294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Produzent von Kraft-Wärme-Kopplungs-Anlagen </w:t>
      </w:r>
      <w:r w:rsidR="00FA7769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bereitet</w:t>
      </w:r>
      <w:r w:rsidR="00174A4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sich mit der Kooperation </w:t>
      </w:r>
      <w:r w:rsidR="00FA7769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auf das Mobilitätszeitalter vor</w:t>
      </w:r>
      <w:r w:rsidR="0065265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1348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Nach 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der Integration von Batteriespeichern 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 die Produktpalette, 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war 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</w:t>
      </w:r>
      <w:r w:rsidR="007A32AA" w:rsidRP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Erweiterung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um 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Ladeinfrastruktur</w:t>
      </w:r>
      <w:r w:rsidR="0065265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der nächste logische Schritt</w:t>
      </w:r>
      <w:r w:rsidR="00D00C1C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um das </w:t>
      </w:r>
      <w:r w:rsidR="005A77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Kundena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ngebot</w:t>
      </w:r>
      <w:r w:rsidR="00D00C1C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zu </w:t>
      </w:r>
      <w:r w:rsidR="00D21BCD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komplettieren</w:t>
      </w:r>
      <w:r w:rsidR="005B4535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CD06E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40D8F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Denn gerade für Gewerbebetriebe wird die Bereitstellung von Lademöglichkeiten immer wichtiger. </w:t>
      </w:r>
      <w:r w:rsidR="0077094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Bei der Suche eines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passenden Partners</w:t>
      </w:r>
      <w:r w:rsidR="0077094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fiel die Wahl auf den </w:t>
      </w:r>
      <w:r w:rsidR="00C37949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Experten</w:t>
      </w:r>
      <w:r w:rsidR="0077094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The Mobility House. 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Ab sofort profitieren</w:t>
      </w:r>
      <w:r w:rsidR="00FA7769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daher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auch Kunden der SenerTec Gmb</w:t>
      </w:r>
      <w:r w:rsidR="00D803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on der langjährige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Erfahrung</w:t>
      </w:r>
      <w:r w:rsidR="00FF3D67" w:rsidRP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des Münchner Unternehmens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im Bereich 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Lade- und Energielösungen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sowie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der breiten Produktpalette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06FE15BF" w14:textId="77777777" w:rsidR="00B303EE" w:rsidRDefault="00B303EE" w:rsidP="00CD06E7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C94FA28" w14:textId="1F613D20" w:rsidR="007A32AA" w:rsidRDefault="00F2454E" w:rsidP="007A32AA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 Kombination mit dem Dachs, das am Markt bewährte und qualitativ </w:t>
      </w:r>
      <w:r w:rsidR="00D21BCD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hochwertige</w:t>
      </w:r>
      <w:r w:rsidR="00D21BCD"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Blockheizkraftwerk von SenerTec,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kann überschüssig</w:t>
      </w: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produzierter Strom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von nun an</w:t>
      </w: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 Batteriespeichern gespeichert oder bei Bedarf über die Ladestation ganz einfach zum Laden </w:t>
      </w:r>
      <w:r w:rsidR="005E343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von</w:t>
      </w: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Elektrofahrzeug</w:t>
      </w:r>
      <w:r w:rsidR="005E343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</w:t>
      </w:r>
      <w:r w:rsidRPr="00F2454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genutzt werden.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 Ladeinfrastruktur stellt somit die perfekte und kundenfreundliche Ergänzung zum Dachs dar. Dadurch sparen Kunden nicht nur Kosten, sondern auch CO</w:t>
      </w:r>
      <w:r w:rsidRPr="00371219">
        <w:rPr>
          <w:rFonts w:ascii="Lato Light" w:eastAsia="Calibri" w:hAnsi="Lato Light" w:cs="Calibri"/>
          <w:iCs/>
          <w:sz w:val="20"/>
          <w:szCs w:val="20"/>
          <w:bdr w:val="none" w:sz="0" w:space="0" w:color="auto"/>
          <w:vertAlign w:val="subscript"/>
          <w14:textOutline w14:w="0" w14:cap="rnd" w14:cmpd="sng" w14:algn="ctr">
            <w14:noFill/>
            <w14:prstDash w14:val="solid"/>
            <w14:bevel/>
          </w14:textOutline>
        </w:rPr>
        <w:t>2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</w:t>
      </w:r>
      <w:r w:rsidR="00CD06E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fachgerechte 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Beratungslei</w:t>
      </w:r>
      <w:r w:rsidR="00CD06E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tung von The Mobility House erfolgt </w:t>
      </w:r>
      <w:r w:rsidR="009620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hierbei 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projektspezifisch</w:t>
      </w:r>
      <w:r w:rsidR="007F6A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Je nach Anwendungsfall </w:t>
      </w:r>
      <w:r w:rsidR="007F6A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und den standortspezifischen Gegebenheiten</w:t>
      </w:r>
      <w:r w:rsidR="0054535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F6A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14E1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unterstützt das Unternehmen </w:t>
      </w:r>
      <w:r w:rsidR="0014611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</w:t>
      </w:r>
      <w:r w:rsidR="00714E1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 der Auswahl der passenden</w:t>
      </w:r>
      <w:r w:rsidR="00E66338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Ladeinfrastruktur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A39AB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="003407C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F6A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Kombination mit Energiemanagem</w:t>
      </w:r>
      <w:r w:rsidR="00714E1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7F6A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ntsystemen und dem Dachs</w:t>
      </w:r>
      <w:r w:rsidR="007A32AA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A4DAC18" w14:textId="77777777" w:rsidR="00BA39AB" w:rsidRDefault="00BA39AB" w:rsidP="005B4535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CFED35" w14:textId="113CBE9E" w:rsidR="005B4535" w:rsidRDefault="00D00C1C" w:rsidP="005B4535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Auch zukünftig </w:t>
      </w:r>
      <w:r w:rsidR="00B858FC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wollen die beiden Marktführer ihre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Zusammenarbeit </w:t>
      </w:r>
      <w:r w:rsidR="008D482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weiter </w:t>
      </w:r>
      <w:r w:rsidR="001754ED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ausbauen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In </w:t>
      </w:r>
      <w:r w:rsidR="0087422C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absehbarer Zeit</w:t>
      </w:r>
      <w:r w:rsidR="00B303E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sollen 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das Energiemanagementsystem von SenerTec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</w:t>
      </w:r>
      <w:hyperlink r:id="rId9" w:history="1">
        <w:r w:rsidR="003B25E6" w:rsidRPr="00D80327">
          <w:rPr>
            <w:rStyle w:val="Hyperlink"/>
            <w:rFonts w:ascii="Lato Light" w:eastAsia="Calibri" w:hAnsi="Lato Light" w:cs="Calibri"/>
            <w:iCs/>
            <w:sz w:val="20"/>
            <w:szCs w:val="20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Lade- und Energiemanagement ChargePilot</w:t>
        </w:r>
      </w:hyperlink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von The Mobility House ineinandergreifen. Das herstellerneutrale System </w:t>
      </w:r>
      <w:r w:rsidR="003B25E6" w:rsidRPr="00D8032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ChargePilot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ermöglicht</w:t>
      </w:r>
      <w:r w:rsidR="0087422C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E641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vor allem Unternehmen mit mehrere</w:t>
      </w:r>
      <w:r w:rsidR="00D21BCD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DE641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Ladepunkten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eine kostengünstige und intelligente Steuerung aller Ladevorgä</w:t>
      </w:r>
      <w:r w:rsidR="00FF3D67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nge</w:t>
      </w:r>
      <w:r w:rsidR="003B25E6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DE641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ie </w:t>
      </w:r>
      <w:r w:rsidR="00DE641E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Partnerschaft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beweist erneut, 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das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Vernetzung der Sektoren der Energiewirtschaft 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ein entscheidender Schritt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ist</w:t>
      </w:r>
      <w:r w:rsidR="005D1DA1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um ein Gelingen der Energiewende zu ermöglichen</w:t>
      </w:r>
      <w:r w:rsidR="001E67A2"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73CBF7F2" w14:textId="77777777" w:rsidR="005B4535" w:rsidRDefault="005B4535" w:rsidP="005B4535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2F3FC1E" w14:textId="77777777" w:rsidR="0087422C" w:rsidRDefault="0087422C" w:rsidP="005B4535">
      <w:pPr>
        <w:pStyle w:val="Text"/>
        <w:rPr>
          <w:rFonts w:ascii="Lato Light" w:eastAsia="Calibri" w:hAnsi="Lato Light" w:cs="Calibri"/>
          <w:iCs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51BF8D2" w14:textId="77777777" w:rsidR="009E5F62" w:rsidRDefault="009E5F62" w:rsidP="009E5F62">
      <w:pPr>
        <w:spacing w:line="360" w:lineRule="auto"/>
        <w:rPr>
          <w:rFonts w:ascii="Lato Light" w:hAnsi="Lato Light" w:cs="Arial"/>
          <w:b/>
          <w:sz w:val="22"/>
          <w:lang w:val="de-CH"/>
        </w:rPr>
      </w:pPr>
      <w:r>
        <w:rPr>
          <w:rFonts w:ascii="Lato Light" w:hAnsi="Lato Light" w:cs="Arial"/>
          <w:b/>
          <w:sz w:val="22"/>
          <w:lang w:val="de-CH"/>
        </w:rPr>
        <w:t>Kontakt:</w:t>
      </w:r>
    </w:p>
    <w:p w14:paraId="6D2555BF" w14:textId="77777777" w:rsidR="009E5F62" w:rsidRDefault="00FF3454" w:rsidP="009E5F62">
      <w:pPr>
        <w:spacing w:line="360" w:lineRule="auto"/>
        <w:rPr>
          <w:rFonts w:ascii="Lato Light" w:hAnsi="Lato Light" w:cs="Arial"/>
          <w:color w:val="0000FF" w:themeColor="hyperlink"/>
          <w:szCs w:val="18"/>
          <w:u w:val="single"/>
          <w:lang w:val="de-CH"/>
        </w:rPr>
      </w:pPr>
      <w:r>
        <w:rPr>
          <w:rFonts w:ascii="Lato Light" w:hAnsi="Lato Light" w:cs="Arial"/>
          <w:szCs w:val="18"/>
          <w:lang w:val="de-CH"/>
        </w:rPr>
        <w:t xml:space="preserve">Manuela Niklasch, </w:t>
      </w:r>
      <w:r w:rsidRPr="00E93FAD">
        <w:rPr>
          <w:rFonts w:ascii="Lato Light" w:hAnsi="Lato Light" w:cs="Arial"/>
          <w:szCs w:val="18"/>
          <w:lang w:val="de-CH"/>
        </w:rPr>
        <w:t>+49 89 4161 430-34</w:t>
      </w:r>
      <w:r w:rsidR="009E5F62">
        <w:rPr>
          <w:rFonts w:ascii="Lato Light" w:hAnsi="Lato Light" w:cs="Arial"/>
          <w:szCs w:val="18"/>
          <w:lang w:val="de-CH"/>
        </w:rPr>
        <w:t xml:space="preserve">, E: </w:t>
      </w:r>
      <w:r w:rsidR="009E5F62">
        <w:rPr>
          <w:rStyle w:val="Hyperlink"/>
          <w:rFonts w:ascii="Lato Light" w:hAnsi="Lato Light" w:cs="Arial"/>
          <w:szCs w:val="18"/>
          <w:lang w:val="de-CH"/>
        </w:rPr>
        <w:t>communication@mobilityhouse.com</w:t>
      </w:r>
    </w:p>
    <w:p w14:paraId="4C5768D6" w14:textId="77777777" w:rsidR="009E5F62" w:rsidRDefault="009E5F62" w:rsidP="009E5F62">
      <w:pPr>
        <w:spacing w:line="240" w:lineRule="auto"/>
        <w:rPr>
          <w:rFonts w:ascii="Lato Light" w:hAnsi="Lato Light" w:cs="Arial"/>
          <w:sz w:val="20"/>
          <w:szCs w:val="20"/>
          <w:lang w:val="de-CH"/>
        </w:rPr>
      </w:pPr>
    </w:p>
    <w:p w14:paraId="505DBBAC" w14:textId="77777777" w:rsidR="009E5F62" w:rsidRDefault="009E5F62" w:rsidP="009E5F62">
      <w:pPr>
        <w:pBdr>
          <w:top w:val="single" w:sz="4" w:space="1" w:color="auto"/>
        </w:pBdr>
        <w:rPr>
          <w:rFonts w:ascii="Lato Light" w:hAnsi="Lato Light" w:cs="Arial"/>
          <w:sz w:val="20"/>
          <w:szCs w:val="20"/>
          <w:lang w:val="de-CH"/>
        </w:rPr>
      </w:pPr>
    </w:p>
    <w:p w14:paraId="36F59ED6" w14:textId="77777777" w:rsidR="009E5F62" w:rsidRDefault="009E5F62" w:rsidP="009E5F62">
      <w:pPr>
        <w:spacing w:line="360" w:lineRule="auto"/>
        <w:rPr>
          <w:rFonts w:ascii="Lato Light" w:hAnsi="Lato Light" w:cs="Arial"/>
          <w:b/>
          <w:szCs w:val="20"/>
          <w:lang w:val="de-CH"/>
        </w:rPr>
      </w:pPr>
      <w:r>
        <w:rPr>
          <w:rFonts w:ascii="Lato Light" w:hAnsi="Lato Light" w:cs="Arial"/>
          <w:b/>
          <w:szCs w:val="20"/>
          <w:lang w:val="de-CH"/>
        </w:rPr>
        <w:t>Über ‘The Mobility House’</w:t>
      </w:r>
    </w:p>
    <w:p w14:paraId="07DB3A0F" w14:textId="77777777" w:rsidR="009E5F62" w:rsidRDefault="009E5F62" w:rsidP="009E5F6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Lato Light" w:hAnsi="Lato Light" w:cs="Arial"/>
          <w:szCs w:val="20"/>
          <w:lang w:val="de-CH"/>
        </w:rPr>
      </w:pPr>
      <w:r>
        <w:rPr>
          <w:rFonts w:ascii="Lato Light" w:hAnsi="Lato Light" w:cs="Arial"/>
          <w:szCs w:val="20"/>
          <w:lang w:val="de-CH"/>
        </w:rPr>
        <w:t>Eine emissionsfreie Energie- und Mobilitätszukunft zu gestalten – das ist das Ziel von The Mobility House. Unsere Technologieplattform verbindet die Automobil- und Energiebranche. Wir integrieren durch intelligente Lade-, Energie- und Speicherlösungen Fahrzeugbatterien ins Stromnetz. Damit fördern wir den Ausbau erneuerbarer Energien, stabilisieren das Stromnetz und machen Elektromobilität gü</w:t>
      </w:r>
      <w:r>
        <w:rPr>
          <w:rFonts w:ascii="Lato Thin" w:hAnsi="Lato Thin" w:cs="Lato Thin"/>
          <w:szCs w:val="20"/>
          <w:lang w:val="de-CH"/>
        </w:rPr>
        <w:t>n</w:t>
      </w:r>
      <w:r>
        <w:rPr>
          <w:rFonts w:ascii="Lato Light" w:hAnsi="Lato Light" w:cs="Arial"/>
          <w:szCs w:val="20"/>
          <w:lang w:val="de-CH"/>
        </w:rPr>
        <w:t>stiger. Das Technologieunternehmen The Mobility House wurde 2009 gegrü</w:t>
      </w:r>
      <w:r>
        <w:rPr>
          <w:rFonts w:ascii="Lato Thin" w:hAnsi="Lato Thin" w:cs="Lato Thin"/>
          <w:szCs w:val="20"/>
          <w:lang w:val="de-CH"/>
        </w:rPr>
        <w:t>n</w:t>
      </w:r>
      <w:r>
        <w:rPr>
          <w:rFonts w:ascii="Lato Light" w:hAnsi="Lato Light" w:cs="Arial"/>
          <w:szCs w:val="20"/>
          <w:lang w:val="de-CH"/>
        </w:rPr>
        <w:t>det und ist von den Standorten Zü</w:t>
      </w:r>
      <w:r>
        <w:rPr>
          <w:rFonts w:ascii="Lato Thin" w:hAnsi="Lato Thin" w:cs="Lato Thin"/>
          <w:szCs w:val="20"/>
          <w:lang w:val="de-CH"/>
        </w:rPr>
        <w:t>r</w:t>
      </w:r>
      <w:r>
        <w:rPr>
          <w:rFonts w:ascii="Lato Light" w:hAnsi="Lato Light" w:cs="Arial"/>
          <w:szCs w:val="20"/>
          <w:lang w:val="de-CH"/>
        </w:rPr>
        <w:t>ich, Mü</w:t>
      </w:r>
      <w:r>
        <w:rPr>
          <w:rFonts w:ascii="Lato Thin" w:hAnsi="Lato Thin" w:cs="Lato Thin"/>
          <w:szCs w:val="20"/>
          <w:lang w:val="de-CH"/>
        </w:rPr>
        <w:t>n</w:t>
      </w:r>
      <w:r>
        <w:rPr>
          <w:rFonts w:ascii="Lato Light" w:hAnsi="Lato Light" w:cs="Arial"/>
          <w:szCs w:val="20"/>
          <w:lang w:val="de-CH"/>
        </w:rPr>
        <w:t>chen und Sunnyvale (CA) weltweit in ü</w:t>
      </w:r>
      <w:r>
        <w:rPr>
          <w:rFonts w:ascii="Lato Thin" w:hAnsi="Lato Thin" w:cs="Lato Thin"/>
          <w:szCs w:val="20"/>
          <w:lang w:val="de-CH"/>
        </w:rPr>
        <w:t>b</w:t>
      </w:r>
      <w:r>
        <w:rPr>
          <w:rFonts w:ascii="Lato Light" w:hAnsi="Lato Light" w:cs="Arial"/>
          <w:szCs w:val="20"/>
          <w:lang w:val="de-CH"/>
        </w:rPr>
        <w:t>er 10 Ländern aktiv. Neben vielen fü</w:t>
      </w:r>
      <w:r>
        <w:rPr>
          <w:rFonts w:ascii="Lato Thin" w:hAnsi="Lato Thin" w:cs="Lato Thin"/>
          <w:szCs w:val="20"/>
          <w:lang w:val="de-CH"/>
        </w:rPr>
        <w:t>h</w:t>
      </w:r>
      <w:r>
        <w:rPr>
          <w:rFonts w:ascii="Lato Light" w:hAnsi="Lato Light" w:cs="Arial"/>
          <w:szCs w:val="20"/>
          <w:lang w:val="de-CH"/>
        </w:rPr>
        <w:t>renden Automobilherstellern sind unsere Kunden Fuhrparkbetreiber, Installationsunternehmen, Energieversorger und Elektroautofahrer. Für weitere Informationen: mobilityhouse.com.</w:t>
      </w:r>
    </w:p>
    <w:p w14:paraId="004EFB6A" w14:textId="77777777" w:rsidR="00B96064" w:rsidRDefault="00B96064" w:rsidP="009E5F6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Lato Light" w:hAnsi="Lato Light" w:cs="Arial"/>
          <w:szCs w:val="20"/>
          <w:lang w:val="de-CH"/>
        </w:rPr>
      </w:pPr>
    </w:p>
    <w:p w14:paraId="710FBA31" w14:textId="77777777" w:rsidR="00B96064" w:rsidRDefault="00B96064" w:rsidP="00B96064">
      <w:pPr>
        <w:spacing w:line="360" w:lineRule="auto"/>
        <w:rPr>
          <w:rFonts w:ascii="Lato Light" w:hAnsi="Lato Light" w:cs="Arial"/>
          <w:b/>
          <w:szCs w:val="20"/>
          <w:lang w:val="de-CH"/>
        </w:rPr>
      </w:pPr>
    </w:p>
    <w:p w14:paraId="0366DBD9" w14:textId="139DF166" w:rsidR="00B96064" w:rsidRPr="00371219" w:rsidRDefault="00B96064" w:rsidP="00B96064">
      <w:pPr>
        <w:spacing w:line="360" w:lineRule="auto"/>
        <w:rPr>
          <w:rFonts w:ascii="Lato Light" w:hAnsi="Lato Light" w:cs="Arial"/>
          <w:b/>
          <w:szCs w:val="20"/>
          <w:lang w:val="de-CH"/>
        </w:rPr>
      </w:pPr>
      <w:r w:rsidRPr="00371219">
        <w:rPr>
          <w:rFonts w:ascii="Lato Light" w:hAnsi="Lato Light" w:cs="Arial"/>
          <w:b/>
          <w:szCs w:val="20"/>
          <w:lang w:val="de-CH"/>
        </w:rPr>
        <w:lastRenderedPageBreak/>
        <w:t xml:space="preserve">Über </w:t>
      </w:r>
      <w:r w:rsidR="0044753F">
        <w:rPr>
          <w:rFonts w:ascii="Lato Light" w:hAnsi="Lato Light" w:cs="Arial"/>
          <w:b/>
          <w:szCs w:val="20"/>
          <w:lang w:val="de-CH"/>
        </w:rPr>
        <w:t>‘</w:t>
      </w:r>
      <w:r>
        <w:rPr>
          <w:rFonts w:ascii="Lato Light" w:hAnsi="Lato Light" w:cs="Arial"/>
          <w:b/>
          <w:szCs w:val="20"/>
          <w:lang w:val="de-CH"/>
        </w:rPr>
        <w:t>SenerTec</w:t>
      </w:r>
      <w:r w:rsidR="0044753F">
        <w:rPr>
          <w:rFonts w:ascii="Lato Light" w:hAnsi="Lato Light" w:cs="Arial"/>
          <w:b/>
          <w:szCs w:val="20"/>
          <w:lang w:val="de-CH"/>
        </w:rPr>
        <w:t>’</w:t>
      </w:r>
    </w:p>
    <w:p w14:paraId="1C0CC0DE" w14:textId="644494BD" w:rsidR="00B96064" w:rsidRPr="00371219" w:rsidRDefault="00B96064" w:rsidP="00371219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Lato Light" w:hAnsi="Lato Light" w:cs="Arial"/>
          <w:szCs w:val="20"/>
          <w:lang w:val="de-CH"/>
        </w:rPr>
      </w:pPr>
      <w:r w:rsidRPr="00371219">
        <w:rPr>
          <w:rFonts w:ascii="Lato Light" w:hAnsi="Lato Light" w:cs="Arial"/>
          <w:szCs w:val="20"/>
          <w:lang w:val="de-CH"/>
        </w:rPr>
        <w:t>SenerTec ist mit über 37.000 verkauften Dachs Anlagen Marktführer im Bereich der Blockheizkraftwerke (BHKW) bis 20 kW elektrischer Leistung für Gewerbe- und Privatgebäude. Im März 1996 in Schweinfurt gegründet und europaweit tätig, beschäftigt die SenerTec Kraft-Wärme-Energiesysteme GmbH heute rund 1</w:t>
      </w:r>
      <w:r w:rsidR="001B0A0D">
        <w:rPr>
          <w:rFonts w:ascii="Lato Light" w:hAnsi="Lato Light" w:cs="Arial"/>
          <w:szCs w:val="20"/>
          <w:lang w:val="de-CH"/>
        </w:rPr>
        <w:t>25</w:t>
      </w:r>
      <w:r w:rsidRPr="00371219">
        <w:rPr>
          <w:rFonts w:ascii="Lato Light" w:hAnsi="Lato Light" w:cs="Arial"/>
          <w:szCs w:val="20"/>
          <w:lang w:val="de-CH"/>
        </w:rPr>
        <w:t xml:space="preserve"> Mitarbeiter. Das Unternehmen, das mit dem Dachs Europas beliebteste KWK-Anlage baut und stetig </w:t>
      </w:r>
      <w:r w:rsidR="00371219" w:rsidRPr="00371219">
        <w:rPr>
          <w:rFonts w:ascii="Lato Light" w:hAnsi="Lato Light" w:cs="Arial"/>
          <w:szCs w:val="20"/>
          <w:lang w:val="de-CH"/>
        </w:rPr>
        <w:t>weiterentwickelt</w:t>
      </w:r>
      <w:r w:rsidRPr="00371219">
        <w:rPr>
          <w:rFonts w:ascii="Lato Light" w:hAnsi="Lato Light" w:cs="Arial"/>
          <w:szCs w:val="20"/>
          <w:lang w:val="de-CH"/>
        </w:rPr>
        <w:t xml:space="preserve">, vertreibt diese über ein flächendeckendes, bundesweites Partnersystem. </w:t>
      </w:r>
    </w:p>
    <w:p w14:paraId="304FBE7F" w14:textId="77777777" w:rsidR="00B96064" w:rsidRDefault="00B96064" w:rsidP="009E5F6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Lato Light" w:hAnsi="Lato Light" w:cs="Arial"/>
          <w:szCs w:val="20"/>
          <w:lang w:val="de-CH"/>
        </w:rPr>
      </w:pPr>
    </w:p>
    <w:p w14:paraId="7E4BCA4D" w14:textId="77777777" w:rsidR="009E5F62" w:rsidRPr="00371219" w:rsidRDefault="009E5F62" w:rsidP="00A423CC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Lato Light" w:hAnsi="Lato Light" w:cs="Arial"/>
          <w:szCs w:val="20"/>
          <w:lang w:val="de-CH"/>
        </w:rPr>
      </w:pPr>
    </w:p>
    <w:sectPr w:rsidR="009E5F62" w:rsidRPr="00371219" w:rsidSect="002A4F8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34" w:right="991" w:bottom="96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E0033" w14:textId="77777777" w:rsidR="00CF3B4C" w:rsidRDefault="00CF3B4C" w:rsidP="002E04E9">
      <w:pPr>
        <w:spacing w:line="240" w:lineRule="auto"/>
      </w:pPr>
      <w:r>
        <w:separator/>
      </w:r>
    </w:p>
  </w:endnote>
  <w:endnote w:type="continuationSeparator" w:id="0">
    <w:p w14:paraId="77E6145B" w14:textId="77777777" w:rsidR="00CF3B4C" w:rsidRDefault="00CF3B4C" w:rsidP="002E0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Bosch Office Sans">
    <w:altName w:val="Arial"/>
    <w:charset w:val="00"/>
    <w:family w:val="swiss"/>
    <w:pitch w:val="variable"/>
    <w:sig w:usb0="A00002FF" w:usb1="0000E0D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A00002AF" w:usb1="5000604B" w:usb2="00000000" w:usb3="00000000" w:csb0="0000019F" w:csb1="00000000"/>
  </w:font>
  <w:font w:name="Lato Thin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D7F4" w14:textId="77777777" w:rsidR="008C3B9C" w:rsidRPr="005D66FC" w:rsidRDefault="008C3B9C" w:rsidP="00B51E2E">
    <w:pPr>
      <w:pStyle w:val="Fuzeile"/>
      <w:tabs>
        <w:tab w:val="clear" w:pos="9072"/>
        <w:tab w:val="right" w:pos="9639"/>
      </w:tabs>
      <w:rPr>
        <w:rFonts w:ascii="Lato Light" w:hAnsi="Lato Light"/>
      </w:rPr>
    </w:pPr>
    <w:r w:rsidRPr="005D66FC">
      <w:rPr>
        <w:rFonts w:ascii="Lato Light" w:hAnsi="Lato Light" w:cs="Arial"/>
        <w:sz w:val="16"/>
        <w:lang w:val="en-US"/>
      </w:rPr>
      <w:t xml:space="preserve">The Mobility House </w:t>
    </w:r>
    <w:r w:rsidRPr="005D66FC">
      <w:rPr>
        <w:rFonts w:ascii="Lato Light" w:hAnsi="Lato Light" w:cs="Arial"/>
        <w:sz w:val="16"/>
      </w:rPr>
      <w:sym w:font="Symbol" w:char="F0D7"/>
    </w:r>
    <w:r w:rsidRPr="005D66FC">
      <w:rPr>
        <w:rFonts w:ascii="Lato Light" w:hAnsi="Lato Light" w:cs="Arial"/>
        <w:sz w:val="16"/>
        <w:lang w:val="en-US"/>
      </w:rPr>
      <w:t xml:space="preserve"> St.-Cajetan-Str. 43 </w:t>
    </w:r>
    <w:r w:rsidRPr="005D66FC">
      <w:rPr>
        <w:rFonts w:ascii="Lato Light" w:hAnsi="Lato Light" w:cs="Arial"/>
        <w:sz w:val="16"/>
      </w:rPr>
      <w:sym w:font="Symbol" w:char="F0D7"/>
    </w:r>
    <w:r w:rsidRPr="005D66FC">
      <w:rPr>
        <w:rFonts w:ascii="Lato Light" w:hAnsi="Lato Light" w:cs="Arial"/>
        <w:sz w:val="16"/>
        <w:lang w:val="en-US"/>
      </w:rPr>
      <w:t xml:space="preserve"> 81669 </w:t>
    </w:r>
    <w:r>
      <w:rPr>
        <w:rFonts w:ascii="Lato Light" w:hAnsi="Lato Light" w:cs="Arial"/>
        <w:sz w:val="16"/>
        <w:lang w:val="en-US"/>
      </w:rPr>
      <w:t>München</w:t>
    </w:r>
    <w:r w:rsidRPr="005D66FC">
      <w:rPr>
        <w:rFonts w:ascii="Lato Light" w:hAnsi="Lato Light" w:cs="Arial"/>
        <w:sz w:val="16"/>
        <w:lang w:val="en-US"/>
      </w:rPr>
      <w:tab/>
    </w:r>
    <w:r w:rsidRPr="005D66FC">
      <w:rPr>
        <w:rFonts w:ascii="Lato Light" w:hAnsi="Lato Light" w:cs="Arial"/>
        <w:sz w:val="16"/>
        <w:lang w:val="en-US"/>
      </w:rPr>
      <w:tab/>
    </w:r>
    <w:r>
      <w:rPr>
        <w:rFonts w:ascii="Lato Light" w:hAnsi="Lato Light" w:cs="Arial"/>
        <w:sz w:val="16"/>
        <w:lang w:val="en-US"/>
      </w:rPr>
      <w:t>Seite</w:t>
    </w:r>
    <w:r w:rsidRPr="005D66FC">
      <w:rPr>
        <w:rFonts w:ascii="Lato Light" w:hAnsi="Lato Light" w:cs="Arial"/>
        <w:sz w:val="16"/>
        <w:lang w:val="en-US"/>
      </w:rPr>
      <w:t xml:space="preserve"> </w:t>
    </w:r>
    <w:r w:rsidRPr="005D66FC">
      <w:rPr>
        <w:rFonts w:ascii="Lato Light" w:hAnsi="Lato Light" w:cs="Arial"/>
        <w:sz w:val="16"/>
      </w:rPr>
      <w:fldChar w:fldCharType="begin"/>
    </w:r>
    <w:r w:rsidRPr="005D66FC">
      <w:rPr>
        <w:rFonts w:ascii="Lato Light" w:hAnsi="Lato Light" w:cs="Arial"/>
        <w:sz w:val="16"/>
      </w:rPr>
      <w:instrText>PAGE  \* Arabic  \* MERGEFORMAT</w:instrText>
    </w:r>
    <w:r w:rsidRPr="005D66FC">
      <w:rPr>
        <w:rFonts w:ascii="Lato Light" w:hAnsi="Lato Light" w:cs="Arial"/>
        <w:sz w:val="16"/>
      </w:rPr>
      <w:fldChar w:fldCharType="separate"/>
    </w:r>
    <w:r w:rsidR="001B0A0D">
      <w:rPr>
        <w:rFonts w:ascii="Lato Light" w:hAnsi="Lato Light" w:cs="Arial"/>
        <w:noProof/>
        <w:sz w:val="16"/>
      </w:rPr>
      <w:t>2</w:t>
    </w:r>
    <w:r w:rsidRPr="005D66FC">
      <w:rPr>
        <w:rFonts w:ascii="Lato Light" w:hAnsi="Lato Light" w:cs="Arial"/>
        <w:sz w:val="16"/>
      </w:rPr>
      <w:fldChar w:fldCharType="end"/>
    </w:r>
    <w:r w:rsidRPr="005D66FC">
      <w:rPr>
        <w:rFonts w:ascii="Lato Light" w:hAnsi="Lato Light" w:cs="Arial"/>
        <w:sz w:val="16"/>
      </w:rPr>
      <w:t xml:space="preserve"> </w:t>
    </w:r>
    <w:r>
      <w:rPr>
        <w:rFonts w:ascii="Lato Light" w:hAnsi="Lato Light" w:cs="Arial"/>
        <w:sz w:val="16"/>
      </w:rPr>
      <w:t>von</w:t>
    </w:r>
    <w:r w:rsidRPr="005D66FC">
      <w:rPr>
        <w:rFonts w:ascii="Lato Light" w:hAnsi="Lato Light" w:cs="Arial"/>
        <w:sz w:val="16"/>
      </w:rPr>
      <w:t xml:space="preserve"> </w:t>
    </w:r>
    <w:r w:rsidRPr="005D66FC">
      <w:rPr>
        <w:rFonts w:ascii="Lato Light" w:hAnsi="Lato Light" w:cs="Arial"/>
        <w:sz w:val="16"/>
      </w:rPr>
      <w:fldChar w:fldCharType="begin"/>
    </w:r>
    <w:r w:rsidRPr="005D66FC">
      <w:rPr>
        <w:rFonts w:ascii="Lato Light" w:hAnsi="Lato Light" w:cs="Arial"/>
        <w:sz w:val="16"/>
      </w:rPr>
      <w:instrText>NUMPAGES  \* Arabic  \* MERGEFORMAT</w:instrText>
    </w:r>
    <w:r w:rsidRPr="005D66FC">
      <w:rPr>
        <w:rFonts w:ascii="Lato Light" w:hAnsi="Lato Light" w:cs="Arial"/>
        <w:sz w:val="16"/>
      </w:rPr>
      <w:fldChar w:fldCharType="separate"/>
    </w:r>
    <w:r w:rsidR="001B0A0D">
      <w:rPr>
        <w:rFonts w:ascii="Lato Light" w:hAnsi="Lato Light" w:cs="Arial"/>
        <w:noProof/>
        <w:sz w:val="16"/>
      </w:rPr>
      <w:t>2</w:t>
    </w:r>
    <w:r w:rsidRPr="005D66FC">
      <w:rPr>
        <w:rFonts w:ascii="Lato Light" w:hAnsi="Lato Light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F40F" w14:textId="77777777" w:rsidR="008C3B9C" w:rsidRPr="00EA2117" w:rsidRDefault="008C3B9C">
    <w:pPr>
      <w:pStyle w:val="Fuzeile"/>
      <w:rPr>
        <w:rFonts w:ascii="Arial" w:hAnsi="Arial" w:cs="Arial"/>
        <w:sz w:val="16"/>
      </w:rPr>
    </w:pPr>
    <w:r w:rsidRPr="00406F1E">
      <w:rPr>
        <w:rFonts w:ascii="Arial" w:hAnsi="Arial" w:cs="Arial"/>
        <w:sz w:val="16"/>
        <w:lang w:val="en-US"/>
      </w:rPr>
      <w:t xml:space="preserve">The Mobility House </w:t>
    </w:r>
    <w:r w:rsidRPr="007C3403">
      <w:rPr>
        <w:rFonts w:ascii="Arial" w:hAnsi="Arial" w:cs="Arial"/>
        <w:sz w:val="16"/>
      </w:rPr>
      <w:sym w:font="Symbol" w:char="F0D7"/>
    </w:r>
    <w:r w:rsidRPr="00406F1E">
      <w:rPr>
        <w:rFonts w:ascii="Arial" w:hAnsi="Arial" w:cs="Arial"/>
        <w:sz w:val="16"/>
        <w:lang w:val="en-US"/>
      </w:rPr>
      <w:t xml:space="preserve"> St.-Martin-Str. </w:t>
    </w:r>
    <w:r w:rsidRPr="007C3403">
      <w:rPr>
        <w:rFonts w:ascii="Arial" w:hAnsi="Arial" w:cs="Arial"/>
        <w:sz w:val="16"/>
      </w:rPr>
      <w:t xml:space="preserve">63 </w:t>
    </w:r>
    <w:r w:rsidRPr="007C3403">
      <w:rPr>
        <w:rFonts w:ascii="Arial" w:hAnsi="Arial" w:cs="Arial"/>
        <w:sz w:val="16"/>
      </w:rPr>
      <w:sym w:font="Symbol" w:char="F0D7"/>
    </w:r>
    <w:r w:rsidRPr="007C3403">
      <w:rPr>
        <w:rFonts w:ascii="Arial" w:hAnsi="Arial" w:cs="Arial"/>
        <w:sz w:val="16"/>
      </w:rPr>
      <w:t xml:space="preserve"> 81669 München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EA2117">
      <w:rPr>
        <w:rFonts w:ascii="Arial" w:hAnsi="Arial" w:cs="Arial"/>
        <w:sz w:val="16"/>
      </w:rPr>
      <w:t xml:space="preserve">Seite </w:t>
    </w:r>
    <w:r w:rsidRPr="00EA2117">
      <w:rPr>
        <w:rFonts w:ascii="Arial" w:hAnsi="Arial" w:cs="Arial"/>
        <w:sz w:val="16"/>
      </w:rPr>
      <w:fldChar w:fldCharType="begin"/>
    </w:r>
    <w:r w:rsidRPr="00EA2117">
      <w:rPr>
        <w:rFonts w:ascii="Arial" w:hAnsi="Arial" w:cs="Arial"/>
        <w:sz w:val="16"/>
      </w:rPr>
      <w:instrText>PAGE  \* Arabic  \* MERGEFORMAT</w:instrText>
    </w:r>
    <w:r w:rsidRPr="00EA211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EA2117">
      <w:rPr>
        <w:rFonts w:ascii="Arial" w:hAnsi="Arial" w:cs="Arial"/>
        <w:sz w:val="16"/>
      </w:rPr>
      <w:fldChar w:fldCharType="end"/>
    </w:r>
    <w:r w:rsidRPr="00EA2117">
      <w:rPr>
        <w:rFonts w:ascii="Arial" w:hAnsi="Arial" w:cs="Arial"/>
        <w:sz w:val="16"/>
      </w:rPr>
      <w:t xml:space="preserve"> von </w:t>
    </w:r>
    <w:r w:rsidRPr="00EA2117">
      <w:rPr>
        <w:rFonts w:ascii="Arial" w:hAnsi="Arial" w:cs="Arial"/>
        <w:sz w:val="16"/>
      </w:rPr>
      <w:fldChar w:fldCharType="begin"/>
    </w:r>
    <w:r w:rsidRPr="00EA2117">
      <w:rPr>
        <w:rFonts w:ascii="Arial" w:hAnsi="Arial" w:cs="Arial"/>
        <w:sz w:val="16"/>
      </w:rPr>
      <w:instrText>NUMPAGES  \* Arabic  \* MERGEFORMAT</w:instrText>
    </w:r>
    <w:r w:rsidRPr="00EA211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EA211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3E15" w14:textId="77777777" w:rsidR="00CF3B4C" w:rsidRDefault="00CF3B4C" w:rsidP="002E04E9">
      <w:pPr>
        <w:spacing w:line="240" w:lineRule="auto"/>
      </w:pPr>
      <w:r>
        <w:separator/>
      </w:r>
    </w:p>
  </w:footnote>
  <w:footnote w:type="continuationSeparator" w:id="0">
    <w:p w14:paraId="454A012F" w14:textId="77777777" w:rsidR="00CF3B4C" w:rsidRDefault="00CF3B4C" w:rsidP="002E0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EEB3" w14:textId="77777777" w:rsidR="008C3B9C" w:rsidRPr="00EC10F6" w:rsidRDefault="008C3B9C" w:rsidP="002A4F8E">
    <w:pPr>
      <w:pStyle w:val="Kopfzeile"/>
    </w:pPr>
    <w:r>
      <w:tab/>
      <w:t xml:space="preserve">               </w:t>
    </w:r>
    <w:r>
      <w:tab/>
    </w:r>
    <w:r>
      <w:rPr>
        <w:noProof/>
        <w:lang w:eastAsia="de-DE"/>
      </w:rPr>
      <w:drawing>
        <wp:inline distT="0" distB="0" distL="0" distR="0" wp14:anchorId="1F58881C" wp14:editId="226A669A">
          <wp:extent cx="2712720" cy="381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BDD9" w14:textId="77777777" w:rsidR="008C3B9C" w:rsidRDefault="008C3B9C" w:rsidP="002E04E9">
    <w:pPr>
      <w:pStyle w:val="Body"/>
    </w:pPr>
  </w:p>
  <w:p w14:paraId="6AA6DF0F" w14:textId="77777777" w:rsidR="008C3B9C" w:rsidRDefault="008C3B9C" w:rsidP="002E04E9">
    <w:pPr>
      <w:pStyle w:val="Body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6EEDFE9" wp14:editId="7510CFCC">
          <wp:simplePos x="0" y="0"/>
          <wp:positionH relativeFrom="page">
            <wp:posOffset>5166995</wp:posOffset>
          </wp:positionH>
          <wp:positionV relativeFrom="page">
            <wp:posOffset>720090</wp:posOffset>
          </wp:positionV>
          <wp:extent cx="1800225" cy="690880"/>
          <wp:effectExtent l="25400" t="0" r="3175" b="0"/>
          <wp:wrapNone/>
          <wp:docPr id="3" name="Grafik 3" descr="THM_Logo_4C_4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M_Logo_4C_4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82941" w14:textId="77777777" w:rsidR="008C3B9C" w:rsidRPr="002D7146" w:rsidRDefault="008C3B9C" w:rsidP="002E04E9">
    <w:pPr>
      <w:pStyle w:val="Body"/>
      <w:spacing w:line="180" w:lineRule="exact"/>
      <w:rPr>
        <w:sz w:val="16"/>
        <w:szCs w:val="16"/>
        <w:vertAlign w:val="subscrip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100C35E" wp14:editId="3553A32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18BA7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" strokecolor="black [3213]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369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7C6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D0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00F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9E4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B69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B4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3CE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56F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022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128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F3119A"/>
    <w:multiLevelType w:val="hybridMultilevel"/>
    <w:tmpl w:val="D44CE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15B90"/>
    <w:multiLevelType w:val="hybridMultilevel"/>
    <w:tmpl w:val="E1E0F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D7C70"/>
    <w:multiLevelType w:val="hybridMultilevel"/>
    <w:tmpl w:val="85581B7A"/>
    <w:lvl w:ilvl="0" w:tplc="93885BDE">
      <w:numFmt w:val="bullet"/>
      <w:lvlText w:val="•"/>
      <w:lvlJc w:val="left"/>
      <w:pPr>
        <w:ind w:left="587" w:hanging="360"/>
      </w:pPr>
      <w:rPr>
        <w:rFonts w:ascii="CorpoS" w:eastAsia="Times New Roman" w:hAnsi="Corp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 w15:restartNumberingAfterBreak="0">
    <w:nsid w:val="7F407C39"/>
    <w:multiLevelType w:val="hybridMultilevel"/>
    <w:tmpl w:val="F4C6F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146"/>
    <w:rsid w:val="00013853"/>
    <w:rsid w:val="00017CDF"/>
    <w:rsid w:val="00020D25"/>
    <w:rsid w:val="00032830"/>
    <w:rsid w:val="0004045A"/>
    <w:rsid w:val="00041CFF"/>
    <w:rsid w:val="000509DF"/>
    <w:rsid w:val="00051F58"/>
    <w:rsid w:val="00055B84"/>
    <w:rsid w:val="00073FDF"/>
    <w:rsid w:val="00075200"/>
    <w:rsid w:val="00085ABE"/>
    <w:rsid w:val="000B34F2"/>
    <w:rsid w:val="000C5220"/>
    <w:rsid w:val="000C694B"/>
    <w:rsid w:val="000C7332"/>
    <w:rsid w:val="000D01D3"/>
    <w:rsid w:val="000D2F2B"/>
    <w:rsid w:val="000E2393"/>
    <w:rsid w:val="000E2870"/>
    <w:rsid w:val="000E5E4A"/>
    <w:rsid w:val="000E727C"/>
    <w:rsid w:val="000F49B4"/>
    <w:rsid w:val="000F6791"/>
    <w:rsid w:val="00110F01"/>
    <w:rsid w:val="0011190D"/>
    <w:rsid w:val="00117FDB"/>
    <w:rsid w:val="001232B5"/>
    <w:rsid w:val="00125EF6"/>
    <w:rsid w:val="00131469"/>
    <w:rsid w:val="00134E44"/>
    <w:rsid w:val="00146116"/>
    <w:rsid w:val="00147734"/>
    <w:rsid w:val="00151DFC"/>
    <w:rsid w:val="00152B8E"/>
    <w:rsid w:val="00160FEE"/>
    <w:rsid w:val="00167715"/>
    <w:rsid w:val="001709E9"/>
    <w:rsid w:val="00170EE1"/>
    <w:rsid w:val="00174A42"/>
    <w:rsid w:val="001754ED"/>
    <w:rsid w:val="001806A6"/>
    <w:rsid w:val="001876B9"/>
    <w:rsid w:val="00192A7C"/>
    <w:rsid w:val="00193E2B"/>
    <w:rsid w:val="00197284"/>
    <w:rsid w:val="001A3EC2"/>
    <w:rsid w:val="001B0A0D"/>
    <w:rsid w:val="001C12E8"/>
    <w:rsid w:val="001C72B8"/>
    <w:rsid w:val="001D2086"/>
    <w:rsid w:val="001D35EE"/>
    <w:rsid w:val="001D479F"/>
    <w:rsid w:val="001D4C88"/>
    <w:rsid w:val="001E67A2"/>
    <w:rsid w:val="001E6D1D"/>
    <w:rsid w:val="00201C80"/>
    <w:rsid w:val="00213987"/>
    <w:rsid w:val="0021571D"/>
    <w:rsid w:val="00224F16"/>
    <w:rsid w:val="00225CD3"/>
    <w:rsid w:val="00226742"/>
    <w:rsid w:val="0024163D"/>
    <w:rsid w:val="00244119"/>
    <w:rsid w:val="0025496F"/>
    <w:rsid w:val="00256B7D"/>
    <w:rsid w:val="0026494F"/>
    <w:rsid w:val="00275724"/>
    <w:rsid w:val="00280088"/>
    <w:rsid w:val="00295F0F"/>
    <w:rsid w:val="002A4F8E"/>
    <w:rsid w:val="002A538D"/>
    <w:rsid w:val="002A69B1"/>
    <w:rsid w:val="002A73B5"/>
    <w:rsid w:val="002B1406"/>
    <w:rsid w:val="002B69A2"/>
    <w:rsid w:val="002C59D2"/>
    <w:rsid w:val="002C6A3C"/>
    <w:rsid w:val="002D7146"/>
    <w:rsid w:val="002E04E9"/>
    <w:rsid w:val="002E2410"/>
    <w:rsid w:val="002E4BD9"/>
    <w:rsid w:val="002F76CC"/>
    <w:rsid w:val="0030589A"/>
    <w:rsid w:val="00316E9B"/>
    <w:rsid w:val="00322A77"/>
    <w:rsid w:val="003261A8"/>
    <w:rsid w:val="00334054"/>
    <w:rsid w:val="00336125"/>
    <w:rsid w:val="003407C6"/>
    <w:rsid w:val="00340D8F"/>
    <w:rsid w:val="00340EC4"/>
    <w:rsid w:val="003446EE"/>
    <w:rsid w:val="00344B09"/>
    <w:rsid w:val="00346FCA"/>
    <w:rsid w:val="00351871"/>
    <w:rsid w:val="00353A80"/>
    <w:rsid w:val="00356B36"/>
    <w:rsid w:val="00363875"/>
    <w:rsid w:val="00363EFF"/>
    <w:rsid w:val="00365916"/>
    <w:rsid w:val="00371219"/>
    <w:rsid w:val="0039633C"/>
    <w:rsid w:val="00397963"/>
    <w:rsid w:val="003A737B"/>
    <w:rsid w:val="003A7CC3"/>
    <w:rsid w:val="003B15A0"/>
    <w:rsid w:val="003B25E6"/>
    <w:rsid w:val="003B26EE"/>
    <w:rsid w:val="003B46FB"/>
    <w:rsid w:val="003C2FFB"/>
    <w:rsid w:val="003C599B"/>
    <w:rsid w:val="003C76C5"/>
    <w:rsid w:val="003D23FC"/>
    <w:rsid w:val="003E2D37"/>
    <w:rsid w:val="003E2E39"/>
    <w:rsid w:val="003E393E"/>
    <w:rsid w:val="003E58D0"/>
    <w:rsid w:val="003E5E70"/>
    <w:rsid w:val="003E6C67"/>
    <w:rsid w:val="003F1FCD"/>
    <w:rsid w:val="003F31C0"/>
    <w:rsid w:val="00400C80"/>
    <w:rsid w:val="00406F1E"/>
    <w:rsid w:val="0040729C"/>
    <w:rsid w:val="00421B9A"/>
    <w:rsid w:val="00423439"/>
    <w:rsid w:val="00432672"/>
    <w:rsid w:val="00434B39"/>
    <w:rsid w:val="00442186"/>
    <w:rsid w:val="0044753F"/>
    <w:rsid w:val="00451666"/>
    <w:rsid w:val="00460DB0"/>
    <w:rsid w:val="004612E0"/>
    <w:rsid w:val="00486BB6"/>
    <w:rsid w:val="00486BF4"/>
    <w:rsid w:val="00486EB4"/>
    <w:rsid w:val="004873DC"/>
    <w:rsid w:val="00490DFD"/>
    <w:rsid w:val="004A641D"/>
    <w:rsid w:val="004B103D"/>
    <w:rsid w:val="004B296C"/>
    <w:rsid w:val="004B3032"/>
    <w:rsid w:val="004B4304"/>
    <w:rsid w:val="004B58AB"/>
    <w:rsid w:val="004C1260"/>
    <w:rsid w:val="004D1863"/>
    <w:rsid w:val="004F22C1"/>
    <w:rsid w:val="004F4B97"/>
    <w:rsid w:val="004F64C8"/>
    <w:rsid w:val="00500411"/>
    <w:rsid w:val="00505DBE"/>
    <w:rsid w:val="00513448"/>
    <w:rsid w:val="00534507"/>
    <w:rsid w:val="00544A26"/>
    <w:rsid w:val="00545357"/>
    <w:rsid w:val="00547930"/>
    <w:rsid w:val="00550E35"/>
    <w:rsid w:val="005537FE"/>
    <w:rsid w:val="005566AC"/>
    <w:rsid w:val="00560C5D"/>
    <w:rsid w:val="00562675"/>
    <w:rsid w:val="005629B5"/>
    <w:rsid w:val="00565236"/>
    <w:rsid w:val="005921E2"/>
    <w:rsid w:val="005A2F6F"/>
    <w:rsid w:val="005A7767"/>
    <w:rsid w:val="005A7C39"/>
    <w:rsid w:val="005B2196"/>
    <w:rsid w:val="005B28FA"/>
    <w:rsid w:val="005B4535"/>
    <w:rsid w:val="005B4D0F"/>
    <w:rsid w:val="005B54B0"/>
    <w:rsid w:val="005B622E"/>
    <w:rsid w:val="005C6498"/>
    <w:rsid w:val="005D0EA1"/>
    <w:rsid w:val="005D1DA1"/>
    <w:rsid w:val="005D34D0"/>
    <w:rsid w:val="005D44E2"/>
    <w:rsid w:val="005D66FC"/>
    <w:rsid w:val="005D7C60"/>
    <w:rsid w:val="005E3436"/>
    <w:rsid w:val="005F0C70"/>
    <w:rsid w:val="005F7E9F"/>
    <w:rsid w:val="00612FDE"/>
    <w:rsid w:val="006132E1"/>
    <w:rsid w:val="00621186"/>
    <w:rsid w:val="00621849"/>
    <w:rsid w:val="00621B48"/>
    <w:rsid w:val="0062247E"/>
    <w:rsid w:val="00631276"/>
    <w:rsid w:val="006376FF"/>
    <w:rsid w:val="00644843"/>
    <w:rsid w:val="00647A0C"/>
    <w:rsid w:val="0065064C"/>
    <w:rsid w:val="00652656"/>
    <w:rsid w:val="00652883"/>
    <w:rsid w:val="00662779"/>
    <w:rsid w:val="00662E0B"/>
    <w:rsid w:val="00667F17"/>
    <w:rsid w:val="0067049D"/>
    <w:rsid w:val="006708B2"/>
    <w:rsid w:val="00673CD9"/>
    <w:rsid w:val="006931FB"/>
    <w:rsid w:val="00694EC2"/>
    <w:rsid w:val="006A270A"/>
    <w:rsid w:val="006A2BD2"/>
    <w:rsid w:val="006A4E11"/>
    <w:rsid w:val="006B452C"/>
    <w:rsid w:val="006B49FD"/>
    <w:rsid w:val="006B7CFD"/>
    <w:rsid w:val="006C2F14"/>
    <w:rsid w:val="006C3FF0"/>
    <w:rsid w:val="006D07FB"/>
    <w:rsid w:val="006D22CC"/>
    <w:rsid w:val="006D2C90"/>
    <w:rsid w:val="006D2D84"/>
    <w:rsid w:val="006D30F2"/>
    <w:rsid w:val="006D3F65"/>
    <w:rsid w:val="006D7285"/>
    <w:rsid w:val="006E2314"/>
    <w:rsid w:val="006F7CBE"/>
    <w:rsid w:val="00700A35"/>
    <w:rsid w:val="00701B59"/>
    <w:rsid w:val="0070381E"/>
    <w:rsid w:val="00705731"/>
    <w:rsid w:val="0071486A"/>
    <w:rsid w:val="00714E1A"/>
    <w:rsid w:val="00720066"/>
    <w:rsid w:val="007234FB"/>
    <w:rsid w:val="00724191"/>
    <w:rsid w:val="00725605"/>
    <w:rsid w:val="007278A5"/>
    <w:rsid w:val="0073032A"/>
    <w:rsid w:val="0073783F"/>
    <w:rsid w:val="00740E95"/>
    <w:rsid w:val="00744F18"/>
    <w:rsid w:val="00746806"/>
    <w:rsid w:val="00752DB2"/>
    <w:rsid w:val="00756314"/>
    <w:rsid w:val="007568FE"/>
    <w:rsid w:val="007608E3"/>
    <w:rsid w:val="0076213A"/>
    <w:rsid w:val="007675E5"/>
    <w:rsid w:val="007701BE"/>
    <w:rsid w:val="00770946"/>
    <w:rsid w:val="00771055"/>
    <w:rsid w:val="0077454A"/>
    <w:rsid w:val="00787387"/>
    <w:rsid w:val="007905C5"/>
    <w:rsid w:val="00790A19"/>
    <w:rsid w:val="00793F12"/>
    <w:rsid w:val="007A32AA"/>
    <w:rsid w:val="007A4FE7"/>
    <w:rsid w:val="007A5E7C"/>
    <w:rsid w:val="007B29D1"/>
    <w:rsid w:val="007C5B2D"/>
    <w:rsid w:val="007D0FB7"/>
    <w:rsid w:val="007D2959"/>
    <w:rsid w:val="007E1131"/>
    <w:rsid w:val="007E3EFC"/>
    <w:rsid w:val="007F6A27"/>
    <w:rsid w:val="007F6F90"/>
    <w:rsid w:val="007F7A31"/>
    <w:rsid w:val="0080136D"/>
    <w:rsid w:val="0081064F"/>
    <w:rsid w:val="0081590A"/>
    <w:rsid w:val="00820EDD"/>
    <w:rsid w:val="0083470B"/>
    <w:rsid w:val="008378C7"/>
    <w:rsid w:val="008401EF"/>
    <w:rsid w:val="0084217D"/>
    <w:rsid w:val="00843F86"/>
    <w:rsid w:val="00853AFA"/>
    <w:rsid w:val="00860B23"/>
    <w:rsid w:val="00866317"/>
    <w:rsid w:val="00867920"/>
    <w:rsid w:val="00867CC1"/>
    <w:rsid w:val="008732A3"/>
    <w:rsid w:val="0087422C"/>
    <w:rsid w:val="00877696"/>
    <w:rsid w:val="00883EFF"/>
    <w:rsid w:val="0088769B"/>
    <w:rsid w:val="00887A3D"/>
    <w:rsid w:val="0089051C"/>
    <w:rsid w:val="00894703"/>
    <w:rsid w:val="0089526D"/>
    <w:rsid w:val="00896E3B"/>
    <w:rsid w:val="00897116"/>
    <w:rsid w:val="008A331B"/>
    <w:rsid w:val="008A71FB"/>
    <w:rsid w:val="008B2391"/>
    <w:rsid w:val="008B6DF8"/>
    <w:rsid w:val="008C2119"/>
    <w:rsid w:val="008C3B9C"/>
    <w:rsid w:val="008D4826"/>
    <w:rsid w:val="008F1DBD"/>
    <w:rsid w:val="008F715F"/>
    <w:rsid w:val="008F71DB"/>
    <w:rsid w:val="00917DA8"/>
    <w:rsid w:val="00931F8B"/>
    <w:rsid w:val="009331E6"/>
    <w:rsid w:val="00942088"/>
    <w:rsid w:val="0095494A"/>
    <w:rsid w:val="0095654D"/>
    <w:rsid w:val="009620AA"/>
    <w:rsid w:val="00965B90"/>
    <w:rsid w:val="00972BBA"/>
    <w:rsid w:val="009833A5"/>
    <w:rsid w:val="0098480B"/>
    <w:rsid w:val="009869BD"/>
    <w:rsid w:val="009873CA"/>
    <w:rsid w:val="0099384D"/>
    <w:rsid w:val="009A1449"/>
    <w:rsid w:val="009A1DD1"/>
    <w:rsid w:val="009B0B01"/>
    <w:rsid w:val="009B3666"/>
    <w:rsid w:val="009B628D"/>
    <w:rsid w:val="009C0486"/>
    <w:rsid w:val="009D386B"/>
    <w:rsid w:val="009D6028"/>
    <w:rsid w:val="009E5F62"/>
    <w:rsid w:val="00A14966"/>
    <w:rsid w:val="00A21EB3"/>
    <w:rsid w:val="00A22AB4"/>
    <w:rsid w:val="00A27DF1"/>
    <w:rsid w:val="00A30364"/>
    <w:rsid w:val="00A3056A"/>
    <w:rsid w:val="00A325F8"/>
    <w:rsid w:val="00A37E12"/>
    <w:rsid w:val="00A401F9"/>
    <w:rsid w:val="00A423CC"/>
    <w:rsid w:val="00A46552"/>
    <w:rsid w:val="00A50881"/>
    <w:rsid w:val="00A53485"/>
    <w:rsid w:val="00A54C35"/>
    <w:rsid w:val="00A54C68"/>
    <w:rsid w:val="00A620A5"/>
    <w:rsid w:val="00A620D4"/>
    <w:rsid w:val="00A62E7B"/>
    <w:rsid w:val="00A76538"/>
    <w:rsid w:val="00A85A54"/>
    <w:rsid w:val="00A868E7"/>
    <w:rsid w:val="00A93373"/>
    <w:rsid w:val="00A9689B"/>
    <w:rsid w:val="00AA6F08"/>
    <w:rsid w:val="00AB21A3"/>
    <w:rsid w:val="00AB3497"/>
    <w:rsid w:val="00AB736B"/>
    <w:rsid w:val="00AC3B4A"/>
    <w:rsid w:val="00AC5BBC"/>
    <w:rsid w:val="00AD009E"/>
    <w:rsid w:val="00AF3585"/>
    <w:rsid w:val="00AF62AD"/>
    <w:rsid w:val="00B000FA"/>
    <w:rsid w:val="00B05A8D"/>
    <w:rsid w:val="00B05BAA"/>
    <w:rsid w:val="00B11569"/>
    <w:rsid w:val="00B13485"/>
    <w:rsid w:val="00B244D6"/>
    <w:rsid w:val="00B303EE"/>
    <w:rsid w:val="00B30FB6"/>
    <w:rsid w:val="00B34FEC"/>
    <w:rsid w:val="00B37542"/>
    <w:rsid w:val="00B429A2"/>
    <w:rsid w:val="00B508E5"/>
    <w:rsid w:val="00B51E2E"/>
    <w:rsid w:val="00B604F2"/>
    <w:rsid w:val="00B72F72"/>
    <w:rsid w:val="00B858FC"/>
    <w:rsid w:val="00B96064"/>
    <w:rsid w:val="00BA0696"/>
    <w:rsid w:val="00BA39AB"/>
    <w:rsid w:val="00BA4886"/>
    <w:rsid w:val="00BA7541"/>
    <w:rsid w:val="00BB41B9"/>
    <w:rsid w:val="00BC1C6F"/>
    <w:rsid w:val="00BD0472"/>
    <w:rsid w:val="00BD267F"/>
    <w:rsid w:val="00BE5F61"/>
    <w:rsid w:val="00BF20BD"/>
    <w:rsid w:val="00BF64C0"/>
    <w:rsid w:val="00C05BA6"/>
    <w:rsid w:val="00C11E70"/>
    <w:rsid w:val="00C165AC"/>
    <w:rsid w:val="00C16D02"/>
    <w:rsid w:val="00C172CB"/>
    <w:rsid w:val="00C26ADF"/>
    <w:rsid w:val="00C325B4"/>
    <w:rsid w:val="00C327EA"/>
    <w:rsid w:val="00C35C46"/>
    <w:rsid w:val="00C37949"/>
    <w:rsid w:val="00C5077A"/>
    <w:rsid w:val="00C6313C"/>
    <w:rsid w:val="00C64407"/>
    <w:rsid w:val="00C75736"/>
    <w:rsid w:val="00C761B3"/>
    <w:rsid w:val="00C80826"/>
    <w:rsid w:val="00C809D4"/>
    <w:rsid w:val="00C97E84"/>
    <w:rsid w:val="00CA3A77"/>
    <w:rsid w:val="00CA4A69"/>
    <w:rsid w:val="00CA520E"/>
    <w:rsid w:val="00CA6C6F"/>
    <w:rsid w:val="00CA7043"/>
    <w:rsid w:val="00CA7260"/>
    <w:rsid w:val="00CB4977"/>
    <w:rsid w:val="00CD06E7"/>
    <w:rsid w:val="00CD12FB"/>
    <w:rsid w:val="00CD1F20"/>
    <w:rsid w:val="00CD4A97"/>
    <w:rsid w:val="00CD51B5"/>
    <w:rsid w:val="00CE0188"/>
    <w:rsid w:val="00CF3B4C"/>
    <w:rsid w:val="00CF62D3"/>
    <w:rsid w:val="00D00C1C"/>
    <w:rsid w:val="00D14949"/>
    <w:rsid w:val="00D14FB0"/>
    <w:rsid w:val="00D15A13"/>
    <w:rsid w:val="00D204A0"/>
    <w:rsid w:val="00D21BCD"/>
    <w:rsid w:val="00D238F9"/>
    <w:rsid w:val="00D32A97"/>
    <w:rsid w:val="00D35B5C"/>
    <w:rsid w:val="00D3750B"/>
    <w:rsid w:val="00D4421E"/>
    <w:rsid w:val="00D44CD4"/>
    <w:rsid w:val="00D4544D"/>
    <w:rsid w:val="00D53CB3"/>
    <w:rsid w:val="00D55BC4"/>
    <w:rsid w:val="00D6064D"/>
    <w:rsid w:val="00D61846"/>
    <w:rsid w:val="00D72600"/>
    <w:rsid w:val="00D80327"/>
    <w:rsid w:val="00D8328E"/>
    <w:rsid w:val="00D879BA"/>
    <w:rsid w:val="00D90B4D"/>
    <w:rsid w:val="00DA238F"/>
    <w:rsid w:val="00DC0411"/>
    <w:rsid w:val="00DC4446"/>
    <w:rsid w:val="00DD3073"/>
    <w:rsid w:val="00DD4A8C"/>
    <w:rsid w:val="00DE641E"/>
    <w:rsid w:val="00DF0775"/>
    <w:rsid w:val="00E04244"/>
    <w:rsid w:val="00E06044"/>
    <w:rsid w:val="00E17169"/>
    <w:rsid w:val="00E2168D"/>
    <w:rsid w:val="00E64273"/>
    <w:rsid w:val="00E66338"/>
    <w:rsid w:val="00E6727F"/>
    <w:rsid w:val="00E73D38"/>
    <w:rsid w:val="00E813DC"/>
    <w:rsid w:val="00E8718D"/>
    <w:rsid w:val="00E9042F"/>
    <w:rsid w:val="00E91C33"/>
    <w:rsid w:val="00E93FAD"/>
    <w:rsid w:val="00EA00A5"/>
    <w:rsid w:val="00EA2117"/>
    <w:rsid w:val="00EA2868"/>
    <w:rsid w:val="00EA2BC5"/>
    <w:rsid w:val="00EA6AD0"/>
    <w:rsid w:val="00EA7A1B"/>
    <w:rsid w:val="00EC10F6"/>
    <w:rsid w:val="00ED03EC"/>
    <w:rsid w:val="00ED2691"/>
    <w:rsid w:val="00ED7C34"/>
    <w:rsid w:val="00EF10A2"/>
    <w:rsid w:val="00EF7225"/>
    <w:rsid w:val="00F02619"/>
    <w:rsid w:val="00F07294"/>
    <w:rsid w:val="00F12C4E"/>
    <w:rsid w:val="00F1777C"/>
    <w:rsid w:val="00F2454E"/>
    <w:rsid w:val="00F25F50"/>
    <w:rsid w:val="00F30EF5"/>
    <w:rsid w:val="00F31E72"/>
    <w:rsid w:val="00F36055"/>
    <w:rsid w:val="00F369F6"/>
    <w:rsid w:val="00F43E60"/>
    <w:rsid w:val="00F526B2"/>
    <w:rsid w:val="00F55569"/>
    <w:rsid w:val="00F559F1"/>
    <w:rsid w:val="00F56BF4"/>
    <w:rsid w:val="00F62C85"/>
    <w:rsid w:val="00F66C64"/>
    <w:rsid w:val="00F67D4E"/>
    <w:rsid w:val="00F80708"/>
    <w:rsid w:val="00FA0574"/>
    <w:rsid w:val="00FA5E3A"/>
    <w:rsid w:val="00FA7769"/>
    <w:rsid w:val="00FB4ED1"/>
    <w:rsid w:val="00FB5D9E"/>
    <w:rsid w:val="00FD3E2F"/>
    <w:rsid w:val="00FF3454"/>
    <w:rsid w:val="00FF3D67"/>
    <w:rsid w:val="00FF479F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DDAC9"/>
  <w15:docId w15:val="{BAC492E7-1CAE-4B9C-946C-65504C6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4E3"/>
    <w:pPr>
      <w:spacing w:line="300" w:lineRule="exact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4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4E3"/>
  </w:style>
  <w:style w:type="paragraph" w:styleId="Fuzeile">
    <w:name w:val="footer"/>
    <w:basedOn w:val="Standard"/>
    <w:link w:val="FuzeileZchn"/>
    <w:uiPriority w:val="99"/>
    <w:unhideWhenUsed/>
    <w:rsid w:val="009724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4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2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3276"/>
    <w:rPr>
      <w:rFonts w:ascii="Tahoma" w:hAnsi="Tahoma" w:cs="Tahoma"/>
      <w:sz w:val="16"/>
      <w:szCs w:val="16"/>
    </w:rPr>
  </w:style>
  <w:style w:type="paragraph" w:customStyle="1" w:styleId="Body">
    <w:name w:val="Body"/>
    <w:basedOn w:val="Standard"/>
    <w:link w:val="BodyZchn"/>
    <w:qFormat/>
    <w:rsid w:val="005D3276"/>
  </w:style>
  <w:style w:type="paragraph" w:customStyle="1" w:styleId="BodyBold">
    <w:name w:val="Body Bold"/>
    <w:basedOn w:val="Body"/>
    <w:qFormat/>
    <w:rsid w:val="005D3276"/>
    <w:rPr>
      <w:b/>
    </w:rPr>
  </w:style>
  <w:style w:type="paragraph" w:customStyle="1" w:styleId="Absender">
    <w:name w:val="Absender"/>
    <w:basedOn w:val="Standard"/>
    <w:qFormat/>
    <w:rsid w:val="0002367B"/>
    <w:pPr>
      <w:spacing w:line="160" w:lineRule="exact"/>
    </w:pPr>
    <w:rPr>
      <w:noProof/>
      <w:color w:val="58585A"/>
      <w:sz w:val="14"/>
      <w:szCs w:val="14"/>
    </w:rPr>
  </w:style>
  <w:style w:type="character" w:customStyle="1" w:styleId="AbsenderBold">
    <w:name w:val="Absender Bold"/>
    <w:uiPriority w:val="1"/>
    <w:qFormat/>
    <w:rsid w:val="003D7274"/>
    <w:rPr>
      <w:b/>
    </w:rPr>
  </w:style>
  <w:style w:type="paragraph" w:customStyle="1" w:styleId="DatumSeitenzahl">
    <w:name w:val="Datum / Seitenzahl"/>
    <w:basedOn w:val="Standard"/>
    <w:qFormat/>
    <w:rsid w:val="00124914"/>
    <w:rPr>
      <w:color w:val="58585A"/>
    </w:rPr>
  </w:style>
  <w:style w:type="character" w:customStyle="1" w:styleId="BodyZchn">
    <w:name w:val="Body Zchn"/>
    <w:link w:val="Body"/>
    <w:rsid w:val="00750AF6"/>
    <w:rPr>
      <w:rFonts w:ascii="Verdana" w:hAnsi="Verdana"/>
      <w:sz w:val="18"/>
      <w:szCs w:val="22"/>
    </w:rPr>
  </w:style>
  <w:style w:type="table" w:styleId="Tabellenraster">
    <w:name w:val="Table Grid"/>
    <w:basedOn w:val="NormaleTabelle"/>
    <w:rsid w:val="00750A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7E11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2D71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0B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4D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4D"/>
    <w:rPr>
      <w:rFonts w:ascii="Verdana" w:hAnsi="Verdana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8F1DB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F1DBD"/>
    <w:rPr>
      <w:color w:val="808080"/>
      <w:shd w:val="clear" w:color="auto" w:fill="E6E6E6"/>
    </w:rPr>
  </w:style>
  <w:style w:type="paragraph" w:customStyle="1" w:styleId="Oberzeile">
    <w:name w:val="Oberzeile"/>
    <w:basedOn w:val="Standard"/>
    <w:next w:val="Standard"/>
    <w:rsid w:val="007F7A31"/>
    <w:pPr>
      <w:spacing w:line="240" w:lineRule="auto"/>
    </w:pPr>
    <w:rPr>
      <w:rFonts w:ascii="Bosch Office Sans" w:eastAsia="Times New Roman" w:hAnsi="Bosch Office Sans"/>
      <w:sz w:val="30"/>
      <w:szCs w:val="21"/>
      <w:lang w:val="en-GB"/>
    </w:rPr>
  </w:style>
  <w:style w:type="paragraph" w:customStyle="1" w:styleId="11Subhead">
    <w:name w:val="1.1 Subhead"/>
    <w:rsid w:val="007F7A31"/>
    <w:pPr>
      <w:spacing w:after="320" w:line="320" w:lineRule="exact"/>
      <w:ind w:right="-193"/>
      <w:contextualSpacing/>
    </w:pPr>
    <w:rPr>
      <w:rFonts w:ascii="CorpoS" w:eastAsia="Times New Roman" w:hAnsi="CorpoS"/>
      <w:b/>
      <w:sz w:val="24"/>
      <w:lang w:val="en-GB"/>
    </w:rPr>
  </w:style>
  <w:style w:type="paragraph" w:customStyle="1" w:styleId="20Continoustext">
    <w:name w:val="2.0 Continous text"/>
    <w:basedOn w:val="Standard"/>
    <w:qFormat/>
    <w:rsid w:val="007F7A31"/>
    <w:pPr>
      <w:spacing w:after="320" w:line="320" w:lineRule="exact"/>
    </w:pPr>
    <w:rPr>
      <w:rFonts w:ascii="CorpoS" w:eastAsia="Times New Roman" w:hAnsi="CorpoS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3470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E5E7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522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0B34F2"/>
  </w:style>
  <w:style w:type="paragraph" w:styleId="StandardWeb">
    <w:name w:val="Normal (Web)"/>
    <w:basedOn w:val="Standard"/>
    <w:uiPriority w:val="99"/>
    <w:semiHidden/>
    <w:unhideWhenUsed/>
    <w:rsid w:val="00BB4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806A6"/>
    <w:rPr>
      <w:color w:val="605E5C"/>
      <w:shd w:val="clear" w:color="auto" w:fill="E1DFDD"/>
    </w:rPr>
  </w:style>
  <w:style w:type="paragraph" w:customStyle="1" w:styleId="Default">
    <w:name w:val="Default"/>
    <w:rsid w:val="00DC04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CD51B5"/>
    <w:rPr>
      <w:rFonts w:ascii="Verdana" w:hAnsi="Verdana"/>
      <w:sz w:val="18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70381E"/>
    <w:rPr>
      <w:b/>
      <w:bCs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0381E"/>
    <w:rPr>
      <w:color w:val="605E5C"/>
      <w:shd w:val="clear" w:color="auto" w:fill="E1DFDD"/>
    </w:rPr>
  </w:style>
  <w:style w:type="paragraph" w:customStyle="1" w:styleId="Text">
    <w:name w:val="Text"/>
    <w:rsid w:val="00CA52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obilityhouse.com/de_de/lade-und-energiemanag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MH_OP_Vorlage_Brief_2seitig_20141208"/>
    <f:field ref="objsubject" par="" edit="true" text=""/>
    <f:field ref="objcreatedby" par="" text="Lindemann Sandra"/>
    <f:field ref="objcreatedat" par="" text="08.12.2014 16:58:26"/>
    <f:field ref="objchangedby" par="" text="Lindemann Sandra"/>
    <f:field ref="objmodifiedat" par="" text="22.12.2014 15:17:20"/>
    <f:field ref="doc_FSCFOLIO_1_1001_FieldDocumentNumber" par="" text=""/>
    <f:field ref="doc_FSCFOLIO_1_1001_FieldSubject" par="" edit="true" text=""/>
    <f:field ref="FSCFOLIO_1_1001_FieldCurrentUser" par="" text="Sandra Lindemann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CDBE80-4389-40FC-8E4C-5E1C69AD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 RV Muenchen/Obb. e.V.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Sinje Patron</dc:creator>
  <cp:lastModifiedBy>Manuela Niklasch</cp:lastModifiedBy>
  <cp:revision>5</cp:revision>
  <cp:lastPrinted>2019-10-22T13:38:00Z</cp:lastPrinted>
  <dcterms:created xsi:type="dcterms:W3CDTF">2020-05-05T06:44:00Z</dcterms:created>
  <dcterms:modified xsi:type="dcterms:W3CDTF">2020-05-12T11:49:00Z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COO.6505.1000.4.823504</vt:lpwstr>
  </property>
  <property fmtid="{D5CDD505-2E9C-101B-9397-08002B2CF9AE}" pid="3" name="FSC#FSCFOLIO@1.1001:docpropproject">
    <vt:lpwstr/>
  </property>
</Properties>
</file>